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10 vom 21. Februar 2024</w:t>
      </w:r>
    </w:p>
    <w:p>
      <w:r>
        <w:t>VS Kantonsgericht, 2024-02-21, FR</w:t>
      </w:r>
    </w:p>
    <w:p>
      <w:r>
        <w:rPr>
          <w:b/>
        </w:rPr>
        <w:t xml:space="preserve">Quelle: </w:t>
      </w:r>
      <w:r>
        <w:t>https://mcp.opencaselaw.ch/entscheid/vs_gerichte_C1 24 10</w:t>
      </w:r>
    </w:p>
    <w:p>
      <w:r>
        <w:t>FR: VS_GERICHTE C1 24 10 du 21 février 2024</w:t>
      </w:r>
    </w:p>
    <w:p>
      <w:r>
        <w:t>IT: VS_GERICHTE C1 24 10 del 21 febbraio 2024</w:t>
      </w:r>
    </w:p>
    <w:p>
      <w:pPr>
        <w:pStyle w:val="Heading2"/>
      </w:pPr>
      <w:r>
        <w:t>Regeste</w:t>
      </w:r>
    </w:p>
    <w:p>
      <w:r>
        <w:t>C1 24 10 C2 24 5 ARRÊT DU 21 FÉVRIER 2024 Tribunal cantonal du Valais Autorité de recours en matière de protection de l'enfant et de l'adulte Camille Rey-Mermet, présidente ; Malika Hofer, greffière, en la cause X _________, recourant, représenté par Maître Gilles Pistoletti, avocat à Sion, contre Y _________, intimée au recours, représentée par Maître Alexia Maulini, avocate à Martigny, concernant l’enfant Z _________, représentée par Maître Christel Burri, avocate à Nyon. (autorité parentale) recours contre la décision rendue le 11 décembre 2023 par l’Autorité de protection de l’enfant et de l’adulte du district de Sion</w:t>
      </w:r>
    </w:p>
    <w:p>
      <w:pPr>
        <w:pStyle w:val="Heading2"/>
      </w:pPr>
      <w:r>
        <w:t>Erwägungen</w:t>
      </w:r>
    </w:p>
    <w:p>
      <w:r>
        <w:rPr>
          <w:b/>
        </w:rPr>
        <w:t>E. 1</w:t>
      </w:r>
    </w:p>
    <w:p>
      <w:r>
        <w:t>CC et 117 alinéa 3 LACC, les décisions de l’autorité de protection de l’enfant sont attaquables par la voie du recours, devant un juge unique du Tribunal cantonal (art. 114 al. 1 let. c ch. 4 et al. 2 LACC). Le recours peut être formé pour violation du droit, constatation fausse ou incomplète des faits pertinents, ou encore inopportunité de la décision (art. 450a al. 1 CC). Il doit être dûment motivé et interjeté par écrit auprès du juge compétent dans le délai de 30 jours à compter de la notification de la décision (art. 450 al. 3 et 450b al. 1 CC).</w:t>
      </w:r>
    </w:p>
    <w:p>
      <w:r>
        <w:rPr>
          <w:b/>
        </w:rPr>
        <w:t>E. 1.1</w:t>
      </w:r>
    </w:p>
    <w:p>
      <w:r>
        <w:t>Aux termes de l’article 450 alinéa 1 CC, applicable par renvoi des articles 314 alinéa</w:t>
      </w:r>
    </w:p>
    <w:p>
      <w:r>
        <w:rPr>
          <w:b/>
        </w:rPr>
        <w:t>E. 1.2</w:t>
      </w:r>
    </w:p>
    <w:p>
      <w:r>
        <w:t>En l’occurrence, la décision entreprise a été notifiée le 20 décembre 2023 aux parties. Le recours interjeté le 19 janvier 2024 par X _________, qui dispose pour le surplus de la qualité pour recourir (art. 450 al. 2 ch. 1 CC), a donc été formé en temps utile.</w:t>
      </w:r>
    </w:p>
    <w:p>
      <w:r>
        <w:rPr>
          <w:b/>
        </w:rPr>
        <w:t>E. 2</w:t>
      </w:r>
    </w:p>
    <w:p>
      <w:r>
        <w:t>A l’appui de son recours, le recourant a requis l’édition du dossier de la cause par l’APEA ainsi que l’édition de divers dossiers par le Tribunal cantonal, notamment celui relatif à la procédure d’appel introduite contre le jugement de divorce du 20 février 2019 (TCV C1 19 72, C1 22 60 et C1 23 129).</w:t>
      </w:r>
    </w:p>
    <w:p>
      <w:r>
        <w:rPr>
          <w:b/>
        </w:rPr>
        <w:t>E. 2.1</w:t>
      </w:r>
    </w:p>
    <w:p>
      <w:r>
        <w:t>Comme l’autorité de première instance, l’autorité de recours établit les faits d’office et procède à la recherche et à l’administration des preuves nécessaires (art. 446 CC). Elle n'est cependant pas liée par les offres de preuves des parties et décide selon sa conviction quels faits doivent encore être établis et quels sont les moyens de preuves pertinents pour démontrer ces faits (arrêt du Tribunal fédéral 5A_266/2019 du 5 août 2019 consid. 3.3.2 et les références). L’autorité est ainsi habilitée à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w:t>
      </w:r>
    </w:p>
    <w:p>
      <w:r>
        <w:rPr>
          <w:b/>
        </w:rPr>
        <w:t>E. 2.2</w:t>
      </w:r>
    </w:p>
    <w:p>
      <w:r>
        <w:t>En l’espèce, le Tribunal cantonal a requis, d’office, l’édition du dossier de la cause par l’APEA, qui contient l’ensemble des éléments utiles au prononcé d’une décision. Vu le sort réservé au recours, il n’y a pas lieu de donner suite à la requête du recourant tendant à l’édition des dossiers précités.</w:t>
      </w:r>
    </w:p>
    <w:p>
      <w:r>
        <w:t>- 5 -</w:t>
      </w:r>
    </w:p>
    <w:p>
      <w:r>
        <w:rPr>
          <w:b/>
        </w:rPr>
        <w:t>E. 3</w:t>
      </w:r>
    </w:p>
    <w:p>
      <w:r>
        <w:t>Au fond, le recourant requiert le retrait de l’autorité parentale sur Z _________ à l’intimée ainsi que la mise en œuvre de mesures de protection adéquates en faveur de l’enfant.</w:t>
      </w:r>
    </w:p>
    <w:p>
      <w:r>
        <w:rPr>
          <w:b/>
        </w:rPr>
        <w:t>E. 3.1</w:t>
      </w:r>
    </w:p>
    <w:p>
      <w:r>
        <w:t>En présence de parents mariés ou qui l’ont été, la modification de l’attribution de l’autorité parentale incombe en règle générale au juge matrimonial (art. 134 al. 3 2e phr. et 179 CC), à moins qu’il existe un accord des deux parents sur ce point ; dans ce cas, c’est l’autorité de protection qui est compétente (art. 134 al. 3 1ère phr. CC). Les autres droits et devoirs parentaux (notamment la garde) sont soumis aux mêmes règles, à l’exception des relations personnelles : la compétence de modification appartient ici à l’autorité de protection même en cas de différend, sauf lorsque le juge est aussi appelé à statuer sur un litige concernant l’autorité parentale, la garde et/ou l’entretien de l’enfant ; dans ce cas, sa compétence s’étend aussi bien aux relations personnelles qu’à la prise en charge de l’enfant et aux éventuelles mesures de protection à ordonner (art. 134 al. 4 et 315a al. 1 CC ; NUSSBAUM-LAGHZAOUI, in CR-Code civil I, 2e éd., 2023 n° 12 ss ad art. 134 CC ; MEIER/STETTLER, Droit de la filiation, 6e éd., 2019, n° 767 ss et 1774 ss). Ces principes s’appliquent de manière similaire lorsque des mesures de protection sont nécessaires après la fin d’une procédure devant le juge matrimonial, et qu’elles conduisent à une adaptation du jugement matrimonial, comme en l’espèce (sur cette question en lien avec l’art. 301a CC : BERTSCHI/MARANTA, in FamPra.ch 3/2017, p. 669s ; SENN, in FamPra.ch 4/2017, p. 988s). La lecture combinée des articles 134 et 315b CC commande alors de distinguer entre les cas dans lesquels les deux parents parviennent à s’entendre de ceux dans lesquels la modification est litigieuse : dans la première hypothèse, l’autorité de protection est en principe compétente (cf. art. 134 al. 3 1ère phr. et 315b al. 2 CC) ; dans la seconde, c’est généralement le juge matrimonial qui sera compétent (cf. art. 134 al. 3 2e phr. et 315b al. 1 CC), à moins que la modification impacte uniquement les relations personnelles ou la prise en charge des enfants (cf. art. 134 al. 4 2e phr. et 315b al. 2 CC). Même en cas de compétence du juge, l’autorité de protection conserve une compétence résiduelle en cas d’urgence notamment (cf. art. 315a al. 3 CC) et peut retirer le droit de déterminer le lieu de résidence de l’enfant (et donc priver un parent de la garde), au titre de mesure de protection (art. 310 CC), mais non seulement pour répondre à une demande émanant d’un des parents, qui demeure de la compétence du juge matrimonial (MEIER, in CR- Code civil I, 2e éd., 2023, n° 14, 21 et 27ss ad art. 315 à 315b CC et les références ; MEIER/STETTLER, op. cit., n° 767 ss et 1774 ss).</w:t>
      </w:r>
    </w:p>
    <w:p>
      <w:r>
        <w:t>- 6 -</w:t>
      </w:r>
    </w:p>
    <w:p>
      <w:r>
        <w:rPr>
          <w:b/>
        </w:rPr>
        <w:t>E. 3.2</w:t>
      </w:r>
    </w:p>
    <w:p>
      <w:r>
        <w:t>En l’espèce, le jugement de divorce du 20 février 2019, confirmé le 11 décembre 2020 par le Tribunal cantonal, a maintenu l’autorité parentale conjointe, attribué la garde de Z _________ à sa mère et chargé l’APEA de mettre en œuvre les mesures de protection ordonnées, en particulier la thérapie familiale. Les conclusions du recourant tendent au retrait de l’autorité parentale à la mère, ce qui aurait pour effet que le père exercerait désormais seul les prérogatives parentales (MEIER, in CR-Code civil I, 2e éd, 2023, n° 21 ad art. 311 CC ; LEUBA/MEIER/PAPAUX VAN DELDEN, Droit du divorce, 2021, n° 1960). Il serait à même de déterminer le lieu de résidence de l’enfant, son encadrement et, de manière générale, d’exercer toutes les compétences décisionnelles concernant sa santé. Quant à la garde, dans une telle configuration, elle reviendrait également au père détenteur désormais de l’autorité parentale exclusive (arrêt du Tribunal fédéral 5A_379/2020 du 17 septembre 2020 consid. 3.3). Les conclusions auraient pour conséquence, si elles devaient être admises, de modifier la réglementation décidée par le juge du divorce et en particulier l’attribution de la garde de l’enfant et l’autorité parentale conjointe. Comme l’a relevé à juste titre l’APEA dans la décision entreprise, en prenant de telles conclusions, le recourant sollicite, en réalité, une modification du jugement de divorce. En raison de son caractère manifestement litigieux, cette modification ressort de la compétence du juge matrimonial, à qui il incombe également, le cas échéant, de prononcer les éventuelles mesures de protection requises par les circonstances du cas d’espèce. C’est donc à juste titre que l’APEA a renvoyé le recourant à agir devant le juge compétent. Eu égard à ce qui précède, le recours est rejeté sur ce point.</w:t>
      </w:r>
    </w:p>
    <w:p>
      <w:r>
        <w:rPr>
          <w:b/>
        </w:rPr>
        <w:t>E. 4</w:t>
      </w:r>
    </w:p>
    <w:p>
      <w:r>
        <w:t>Le recourant reproche ensuite à l’APEA de ne pas avoir dénoncé l’intimée aux autorités pénales compétentes pour son refus de collaborer à la thérapie familiale ordonnée le 11 décembre 2020, constitutif selon lui de l’infraction d’insoumission à une décision de l’autorité au sens de l’article 292 CP. En argumentant de la sorte, le recourant perd de vue que même si la loi cantonale impose à toute autorité, tout fonctionnaire, tout agent de la force publique du canton ou de la commune l’obligation de dénoncer aux autorités compétentes toute infraction se poursuivant d’office qui est parvenue à sa connaissance dans l’exercice de ses fonctions (art. 35 alinéa 1 LACPP ; cf. ég. 54 al. 3 1ère phr. LJe, qui prévoit que les infractions poursuivies d'office doivent être dénoncées au ministère public), une éventuelle violation de cette obligation n’a pas de conséquence directe sur la procédure en protection de l’enfant. Il n’appartient dès lors pas au Tribunal cantonal de se prononcer sur cette</w:t>
      </w:r>
    </w:p>
    <w:p>
      <w:r>
        <w:t>- 7 - question. Du reste, chacun a le droit de dénoncer des infractions à une autorité de poursuite pénale (cf. art. 301 CPP). On ne voit a priori pas quel aurait été l’intérêt du recourant à ce que l’APEA dénonce la situation de sa fille au Ministère public puisqu’il était parfaitement en mesure d’accomplir cette démarche. Il ne donne d’ailleurs aucune explication à ce sujet. Ce grief est, en conséquence, irrecevable.</w:t>
      </w:r>
    </w:p>
    <w:p>
      <w:r>
        <w:rPr>
          <w:b/>
        </w:rPr>
        <w:t>E. 5</w:t>
      </w:r>
    </w:p>
    <w:p>
      <w:r>
        <w:t>Le recourant se plaint finalement de la mise à sa charge de la moitié des frais de première instance et réclame, en sus, une indemnité pour ses dépens devant l’APEA, qu’il chiffre à 2500 francs.</w:t>
      </w:r>
    </w:p>
    <w:p>
      <w:r>
        <w:rPr>
          <w:b/>
        </w:rPr>
        <w:t>E. 5.1</w:t>
      </w:r>
    </w:p>
    <w:p>
      <w:r>
        <w:t>Les frais sont en principe mis à la charge de la partie succombante (art. 106 al. 1 CPC par renvoi de l’art. 450f CC). Lorsqu’aucune des parties n’obtient entièrement gain de cause, les frais sont répartis selon le sort de la cause (art. 106 al. 2 CPC). L’autorité est toutefois libre de s’écarter de ces règles et de répartir les frais selon sa libre appréciation dans les hypothèses prévues par l’article 107 CPC, soit notamment lorsque le litige relève du droit de la famille (art. 107 al. 1 let. c CPC), comme c’est le cas en l’espèce. Il n’est ainsi pas exclu, dans ce type de procédure, que la partie qui obtient gain de cause soit condamnée à supporter des frais, l’autorité qui statue disposant dans ce cadre d’un large pouvoir d’appréciation (arrêt du Tribunal fédéral 5A_489/2019 du 24 août 2020 consid. 19.1).</w:t>
      </w:r>
    </w:p>
    <w:p>
      <w:r>
        <w:rPr>
          <w:b/>
        </w:rPr>
        <w:t>E. 5.2</w:t>
      </w:r>
    </w:p>
    <w:p>
      <w:r>
        <w:t>En l’espèce, l’APEA a confirmé la suspension des relations personnelles entre Z _________ et son père, rejeté la requête de celui-ci tendant au retrait immédiat de l’autorité parentale, de la garde et du droit de déterminer le lieu de résidence de l’enfant à sa mère, rejeté ses conclusions tendant à la dénonciation de l’intimée au ministère public et l’a invité à agir devant le juge matrimonial pour le surplus. Autrement dit, les conclusions prises par le recourant en première instance ont toutes été rejetées, ce que le présent arrêt ne remet pas en cause. Dans la mesure où il a succombé en première instance, on ne voit dès lors pas en quoi l’APEA aurait violé le droit ou l’équité en mettant à sa charge la moitié des frais de la procédure, ni en ne lui allouant aucune indemnité pour ses dépens. Ce grief est, partant, rejeté.</w:t>
      </w:r>
    </w:p>
    <w:p>
      <w:r>
        <w:rPr>
          <w:b/>
        </w:rPr>
        <w:t>E. 6</w:t>
      </w:r>
    </w:p>
    <w:p>
      <w:r>
        <w:t>Eu égard à ce qui précède, le recours est rejeté dans la mesure où il est recevable.</w:t>
      </w:r>
    </w:p>
    <w:p>
      <w:r>
        <w:t>- 8 -</w:t>
      </w:r>
    </w:p>
    <w:p>
      <w:r>
        <w:rPr>
          <w:b/>
        </w:rPr>
        <w:t>E. 7</w:t>
      </w:r>
    </w:p>
    <w:p>
      <w:r>
        <w:t>Le prononcé d’une décision au fond rend sans objet la requête de mesures superprovisionnelles et provisionnelles contenues dans le mémoire du 19 janvier 2024.</w:t>
      </w:r>
    </w:p>
    <w:p>
      <w:r>
        <w:rPr>
          <w:b/>
        </w:rPr>
        <w:t>E. 8</w:t>
      </w:r>
    </w:p>
    <w:p>
      <w:r>
        <w:t>Il reste à statuer sur le sort des frais de la procédure de recours. Compte tenu de la difficulté ordinaire de la cause et de sa nature, l’émolument forfaitaire de décision est arrêté à 500 fr. (art. 13 ss LTar) et mis à la charge du recourant, qui succombe. Celui-ci conserve par ailleurs ses frais d’intervention de seconde instance. Quant à Z _________ et à l’intimée, elles ne peuvent prétendre à une indemnité pour leur dépens, dans la mesure où elles n’ont n’ayant pas été invitées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